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C29E" w14:textId="77777777"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E679F9">
        <w:rPr>
          <w:rFonts w:ascii="MiloOT-Medi" w:hAnsi="MiloOT-Medi" w:cstheme="minorHAnsi"/>
          <w:color w:val="00AB96"/>
          <w:sz w:val="16"/>
          <w:szCs w:val="16"/>
        </w:rPr>
      </w:r>
      <w:r w:rsidR="00E679F9">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14:paraId="6AE31EE8" w14:textId="77777777"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E679F9">
        <w:rPr>
          <w:rFonts w:ascii="MiloOT-Medi" w:hAnsi="MiloOT-Medi"/>
          <w:color w:val="002F5D"/>
          <w:sz w:val="16"/>
          <w:szCs w:val="16"/>
        </w:rPr>
      </w:r>
      <w:r w:rsidR="00E679F9">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14:paraId="26259FB2"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0C6C3B6C"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2"/>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E679F9">
        <w:rPr>
          <w:rFonts w:ascii="MiloOT-Light" w:hAnsi="MiloOT-Light"/>
          <w:color w:val="002F5D"/>
          <w:sz w:val="16"/>
          <w:szCs w:val="16"/>
        </w:rPr>
      </w:r>
      <w:r w:rsidR="00E679F9">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14:paraId="2F3043DA"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2"/>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E679F9">
        <w:rPr>
          <w:rFonts w:ascii="MiloOT-Light" w:hAnsi="MiloOT-Light"/>
          <w:color w:val="002F5D"/>
          <w:sz w:val="16"/>
          <w:szCs w:val="16"/>
        </w:rPr>
      </w:r>
      <w:r w:rsidR="00E679F9">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14:paraId="69A7BCB6"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62FF8CFF"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E679F9">
        <w:rPr>
          <w:rFonts w:ascii="MiloOT-Light" w:hAnsi="MiloOT-Light"/>
          <w:color w:val="002F5D"/>
          <w:sz w:val="16"/>
          <w:szCs w:val="16"/>
        </w:rPr>
      </w:r>
      <w:r w:rsidR="00E679F9">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00D10EA6"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14:paraId="6F2B9B04"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E679F9">
        <w:rPr>
          <w:rFonts w:ascii="MiloOT-Light" w:hAnsi="MiloOT-Light"/>
          <w:color w:val="002F5D"/>
          <w:sz w:val="16"/>
          <w:szCs w:val="16"/>
        </w:rPr>
      </w:r>
      <w:r w:rsidR="00E679F9">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14:paraId="137E1210" w14:textId="1480CC17" w:rsidR="007C55C0" w:rsidRPr="00EF412A" w:rsidRDefault="00F31F1D"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14:paraId="6687A097" w14:textId="77777777" w:rsidR="001B3813" w:rsidRPr="00517BAC" w:rsidRDefault="004F56FB"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14:anchorId="6ADE9E53" wp14:editId="796CC9EA">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7C28A435" w14:textId="77777777"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14:paraId="3E307FE9" w14:textId="77777777" w:rsidR="00567C1E" w:rsidRDefault="00567C1E" w:rsidP="00567C1E">
      <w:pPr>
        <w:rPr>
          <w:rFonts w:ascii="MiloOT-Medi" w:hAnsi="MiloOT-Medi"/>
          <w:b/>
          <w:sz w:val="16"/>
          <w:szCs w:val="16"/>
        </w:rPr>
      </w:pPr>
    </w:p>
    <w:p w14:paraId="65A7F4D2" w14:textId="77777777"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14:paraId="6B0979C5" w14:textId="5EFD3D12" w:rsidR="00DD75CD" w:rsidRDefault="00596431" w:rsidP="00DD75CD">
      <w:pPr>
        <w:spacing w:after="120" w:line="280" w:lineRule="exact"/>
        <w:ind w:right="-29"/>
        <w:rPr>
          <w:b/>
        </w:rPr>
      </w:pPr>
      <w:r w:rsidRPr="00BC3231">
        <w:rPr>
          <w:sz w:val="21"/>
          <w:szCs w:val="21"/>
        </w:rPr>
        <w:lastRenderedPageBreak/>
        <w:fldChar w:fldCharType="begin"/>
      </w:r>
      <w:r w:rsidR="00DD75CD" w:rsidRPr="00BC3231">
        <w:rPr>
          <w:sz w:val="21"/>
          <w:szCs w:val="21"/>
        </w:rPr>
        <w:instrText xml:space="preserve"> CREATEDATE  \@ "d. MMMM yyyy"  \* MERGEFORMAT </w:instrText>
      </w:r>
      <w:r w:rsidRPr="00BC3231">
        <w:rPr>
          <w:sz w:val="21"/>
          <w:szCs w:val="21"/>
        </w:rPr>
        <w:fldChar w:fldCharType="separate"/>
      </w:r>
      <w:r w:rsidR="00E679F9">
        <w:rPr>
          <w:noProof/>
          <w:sz w:val="21"/>
          <w:szCs w:val="21"/>
        </w:rPr>
        <w:t>17. Mai 2023</w:t>
      </w:r>
      <w:r w:rsidRPr="00BC3231">
        <w:rPr>
          <w:sz w:val="21"/>
          <w:szCs w:val="21"/>
        </w:rPr>
        <w:fldChar w:fldCharType="end"/>
      </w:r>
    </w:p>
    <w:p w14:paraId="65916530" w14:textId="77777777" w:rsidR="00567C1E" w:rsidRDefault="00567C1E" w:rsidP="00567C1E">
      <w:pPr>
        <w:rPr>
          <w:b/>
        </w:rPr>
      </w:pPr>
    </w:p>
    <w:p w14:paraId="15E3CE90" w14:textId="77777777"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14:paraId="5F7821E8" w14:textId="492536C8" w:rsidR="00DD75CD" w:rsidRPr="00BC3231" w:rsidRDefault="004F56FB" w:rsidP="00DD75CD">
      <w:pPr>
        <w:spacing w:after="120" w:line="300" w:lineRule="exact"/>
        <w:ind w:right="-28"/>
        <w:rPr>
          <w:b/>
          <w:sz w:val="24"/>
          <w:szCs w:val="21"/>
        </w:rPr>
      </w:pPr>
      <w:bookmarkStart w:id="4" w:name="Anschrift"/>
      <w:bookmarkEnd w:id="4"/>
      <w:r>
        <w:rPr>
          <w:b/>
          <w:sz w:val="24"/>
          <w:szCs w:val="21"/>
        </w:rPr>
        <w:lastRenderedPageBreak/>
        <w:t>BVDM digit@l guide 202</w:t>
      </w:r>
      <w:r w:rsidR="00DB4A9C">
        <w:rPr>
          <w:b/>
          <w:sz w:val="24"/>
          <w:szCs w:val="21"/>
        </w:rPr>
        <w:t>3 steht ab sofort zum Download bereit</w:t>
      </w:r>
    </w:p>
    <w:p w14:paraId="1EB9B8F2" w14:textId="3492E7D2" w:rsidR="00DD75CD" w:rsidRPr="00F71684" w:rsidRDefault="004F56FB" w:rsidP="00C9278B">
      <w:pPr>
        <w:spacing w:after="240" w:line="300" w:lineRule="exact"/>
        <w:ind w:right="-28"/>
        <w:jc w:val="both"/>
        <w:rPr>
          <w:b/>
          <w:sz w:val="21"/>
          <w:szCs w:val="21"/>
        </w:rPr>
      </w:pPr>
      <w:r>
        <w:rPr>
          <w:b/>
          <w:sz w:val="21"/>
          <w:szCs w:val="21"/>
        </w:rPr>
        <w:t xml:space="preserve">Das etablierte Nachschlagewerk für jeden Arbeitsplatz im Möbel- und Küchenhandel </w:t>
      </w:r>
      <w:r w:rsidR="00DB4A9C">
        <w:rPr>
          <w:b/>
          <w:sz w:val="21"/>
          <w:szCs w:val="21"/>
        </w:rPr>
        <w:t>steht pün</w:t>
      </w:r>
      <w:r w:rsidR="005502C8">
        <w:rPr>
          <w:b/>
          <w:sz w:val="21"/>
          <w:szCs w:val="21"/>
        </w:rPr>
        <w:t>ktlich kurz vor Start der imm</w:t>
      </w:r>
      <w:r w:rsidR="00DB4A9C">
        <w:rPr>
          <w:b/>
          <w:sz w:val="21"/>
          <w:szCs w:val="21"/>
        </w:rPr>
        <w:t xml:space="preserve"> Spring Edition bereit</w:t>
      </w:r>
      <w:r>
        <w:rPr>
          <w:b/>
          <w:sz w:val="21"/>
          <w:szCs w:val="21"/>
        </w:rPr>
        <w:t xml:space="preserve"> </w:t>
      </w:r>
      <w:r w:rsidR="00DB4A9C">
        <w:rPr>
          <w:b/>
          <w:sz w:val="21"/>
          <w:szCs w:val="21"/>
        </w:rPr>
        <w:t xml:space="preserve">und ist </w:t>
      </w:r>
      <w:r>
        <w:rPr>
          <w:b/>
          <w:sz w:val="21"/>
          <w:szCs w:val="21"/>
        </w:rPr>
        <w:t xml:space="preserve">als </w:t>
      </w:r>
      <w:r w:rsidR="00A52F66">
        <w:rPr>
          <w:b/>
          <w:sz w:val="21"/>
          <w:szCs w:val="21"/>
        </w:rPr>
        <w:t xml:space="preserve">browserbasiertes Flipbook </w:t>
      </w:r>
      <w:r w:rsidR="00DB4A9C">
        <w:rPr>
          <w:b/>
          <w:sz w:val="21"/>
          <w:szCs w:val="21"/>
        </w:rPr>
        <w:t xml:space="preserve">sowie als Download </w:t>
      </w:r>
      <w:r w:rsidR="00A52F66">
        <w:rPr>
          <w:b/>
          <w:sz w:val="21"/>
          <w:szCs w:val="21"/>
        </w:rPr>
        <w:t>im PDF-Format</w:t>
      </w:r>
      <w:r w:rsidR="00DB4A9C">
        <w:rPr>
          <w:b/>
          <w:sz w:val="21"/>
          <w:szCs w:val="21"/>
        </w:rPr>
        <w:t xml:space="preserve"> verfügbar</w:t>
      </w:r>
      <w:r w:rsidR="00A52F66">
        <w:rPr>
          <w:b/>
          <w:sz w:val="21"/>
          <w:szCs w:val="21"/>
        </w:rPr>
        <w:t>.</w:t>
      </w:r>
    </w:p>
    <w:p w14:paraId="55F8D276" w14:textId="0A5C7123" w:rsidR="00A52F66" w:rsidRPr="00A52F66" w:rsidRDefault="005502C8" w:rsidP="00C9278B">
      <w:pPr>
        <w:spacing w:before="120" w:line="360" w:lineRule="auto"/>
        <w:ind w:right="-28"/>
        <w:jc w:val="both"/>
        <w:rPr>
          <w:sz w:val="21"/>
          <w:szCs w:val="21"/>
        </w:rPr>
      </w:pPr>
      <w:r>
        <w:rPr>
          <w:noProof/>
          <w:sz w:val="18"/>
          <w:szCs w:val="18"/>
        </w:rPr>
        <w:drawing>
          <wp:anchor distT="0" distB="0" distL="114300" distR="114300" simplePos="0" relativeHeight="251659264" behindDoc="0" locked="0" layoutInCell="1" allowOverlap="1" wp14:anchorId="48B345DB" wp14:editId="0512DB41">
            <wp:simplePos x="0" y="0"/>
            <wp:positionH relativeFrom="column">
              <wp:posOffset>4568825</wp:posOffset>
            </wp:positionH>
            <wp:positionV relativeFrom="paragraph">
              <wp:posOffset>3361</wp:posOffset>
            </wp:positionV>
            <wp:extent cx="1388110" cy="1955165"/>
            <wp:effectExtent l="0" t="0" r="2540" b="698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vdm2023_titel.indd-1.png"/>
                    <pic:cNvPicPr/>
                  </pic:nvPicPr>
                  <pic:blipFill>
                    <a:blip r:embed="rId9">
                      <a:extLst>
                        <a:ext uri="{28A0092B-C50C-407E-A947-70E740481C1C}">
                          <a14:useLocalDpi xmlns:a14="http://schemas.microsoft.com/office/drawing/2010/main" val="0"/>
                        </a:ext>
                      </a:extLst>
                    </a:blip>
                    <a:stretch>
                      <a:fillRect/>
                    </a:stretch>
                  </pic:blipFill>
                  <pic:spPr>
                    <a:xfrm>
                      <a:off x="0" y="0"/>
                      <a:ext cx="1388110" cy="1955165"/>
                    </a:xfrm>
                    <a:prstGeom prst="rect">
                      <a:avLst/>
                    </a:prstGeom>
                  </pic:spPr>
                </pic:pic>
              </a:graphicData>
            </a:graphic>
            <wp14:sizeRelH relativeFrom="margin">
              <wp14:pctWidth>0</wp14:pctWidth>
            </wp14:sizeRelH>
            <wp14:sizeRelV relativeFrom="margin">
              <wp14:pctHeight>0</wp14:pctHeight>
            </wp14:sizeRelV>
          </wp:anchor>
        </w:drawing>
      </w:r>
      <w:r w:rsidR="00DB4A9C">
        <w:rPr>
          <w:sz w:val="21"/>
          <w:szCs w:val="21"/>
        </w:rPr>
        <w:t xml:space="preserve">Das </w:t>
      </w:r>
      <w:r w:rsidR="00733A99">
        <w:rPr>
          <w:sz w:val="21"/>
          <w:szCs w:val="21"/>
        </w:rPr>
        <w:t xml:space="preserve">BVDM-Möbel-Taschenbuch, </w:t>
      </w:r>
      <w:r w:rsidR="005E34C6">
        <w:rPr>
          <w:sz w:val="21"/>
          <w:szCs w:val="21"/>
        </w:rPr>
        <w:t>Nachschlagewerk</w:t>
      </w:r>
      <w:r w:rsidR="00A52F66" w:rsidRPr="00A52F66">
        <w:rPr>
          <w:sz w:val="21"/>
          <w:szCs w:val="21"/>
        </w:rPr>
        <w:t xml:space="preserve"> </w:t>
      </w:r>
      <w:r w:rsidR="00DB4A9C">
        <w:rPr>
          <w:sz w:val="21"/>
          <w:szCs w:val="21"/>
        </w:rPr>
        <w:t>des Möbel-, Küchen- und Einrichtungshandels</w:t>
      </w:r>
      <w:r w:rsidR="00733A99">
        <w:rPr>
          <w:sz w:val="21"/>
          <w:szCs w:val="21"/>
        </w:rPr>
        <w:t>,</w:t>
      </w:r>
      <w:r w:rsidR="00DB4A9C">
        <w:rPr>
          <w:sz w:val="21"/>
          <w:szCs w:val="21"/>
        </w:rPr>
        <w:t xml:space="preserve"> erscheint bereits zum zweiten Mal </w:t>
      </w:r>
      <w:r w:rsidR="00A52F66" w:rsidRPr="00A52F66">
        <w:rPr>
          <w:sz w:val="21"/>
          <w:szCs w:val="21"/>
        </w:rPr>
        <w:t>digital und unter neuem Nam</w:t>
      </w:r>
      <w:r w:rsidR="00DB4A9C">
        <w:rPr>
          <w:sz w:val="21"/>
          <w:szCs w:val="21"/>
        </w:rPr>
        <w:t>en: Der „BVDM digit@l guide 2023</w:t>
      </w:r>
      <w:r w:rsidR="00A52F66" w:rsidRPr="00A52F66">
        <w:rPr>
          <w:sz w:val="21"/>
          <w:szCs w:val="21"/>
        </w:rPr>
        <w:t>“ bündelt auf über 280 Seiten relevante Informationen für den erfolgreichen Geschäftsbetrieb, umfangreiche Statistiken, Auszüge der wichtigsten Gesetze und Verordnungen für den Möbel- und Küchenfachhandel sowie viele nützliche Branchenadressen und Me</w:t>
      </w:r>
      <w:r w:rsidR="00DB4A9C">
        <w:rPr>
          <w:sz w:val="21"/>
          <w:szCs w:val="21"/>
        </w:rPr>
        <w:t>ssetermine. Dank der digitalen</w:t>
      </w:r>
      <w:r w:rsidR="00A52F66" w:rsidRPr="00A52F66">
        <w:rPr>
          <w:sz w:val="21"/>
          <w:szCs w:val="21"/>
        </w:rPr>
        <w:t xml:space="preserve"> Umsetzung sind sämtliche Inhalte des ehemals gedruckten Taschenbuchs </w:t>
      </w:r>
      <w:r w:rsidR="00DB4A9C">
        <w:rPr>
          <w:sz w:val="21"/>
          <w:szCs w:val="21"/>
        </w:rPr>
        <w:t xml:space="preserve">immer und überall direkt einsehbar. </w:t>
      </w:r>
    </w:p>
    <w:p w14:paraId="45AEDBB3" w14:textId="5C4C4E8D" w:rsidR="00A52F66" w:rsidRPr="00A52F66" w:rsidRDefault="00A52F66" w:rsidP="00C9278B">
      <w:pPr>
        <w:spacing w:before="120" w:line="360" w:lineRule="auto"/>
        <w:ind w:right="-28"/>
        <w:jc w:val="both"/>
        <w:rPr>
          <w:sz w:val="21"/>
          <w:szCs w:val="21"/>
        </w:rPr>
      </w:pPr>
      <w:r w:rsidRPr="00A52F66">
        <w:rPr>
          <w:sz w:val="21"/>
          <w:szCs w:val="21"/>
        </w:rPr>
        <w:t>Der „BVDM digit@l gu</w:t>
      </w:r>
      <w:r w:rsidR="00DB4A9C">
        <w:rPr>
          <w:sz w:val="21"/>
          <w:szCs w:val="21"/>
        </w:rPr>
        <w:t>ide 2023</w:t>
      </w:r>
      <w:r w:rsidR="005E34C6">
        <w:rPr>
          <w:sz w:val="21"/>
          <w:szCs w:val="21"/>
        </w:rPr>
        <w:t>“ wurde in Zusammenarbeit mit den Experten von</w:t>
      </w:r>
      <w:r w:rsidRPr="00A52F66">
        <w:rPr>
          <w:sz w:val="21"/>
          <w:szCs w:val="21"/>
        </w:rPr>
        <w:t xml:space="preserve"> Vincentz Network (möbel kultur), Möbelsachverständigen und Dozenten der Fachschule des Möbelhandels (MöFa) sowie BVDM-Mitarbeitern</w:t>
      </w:r>
      <w:r w:rsidR="005E34C6">
        <w:rPr>
          <w:sz w:val="21"/>
          <w:szCs w:val="21"/>
        </w:rPr>
        <w:t xml:space="preserve"> fertiggestellt</w:t>
      </w:r>
      <w:r w:rsidRPr="00A52F66">
        <w:rPr>
          <w:sz w:val="21"/>
          <w:szCs w:val="21"/>
        </w:rPr>
        <w:t xml:space="preserve">. Alle </w:t>
      </w:r>
      <w:r w:rsidRPr="00F31F1D">
        <w:rPr>
          <w:sz w:val="21"/>
          <w:szCs w:val="21"/>
        </w:rPr>
        <w:t>Mitglieder des Handelsverband</w:t>
      </w:r>
      <w:r w:rsidR="007C6F72">
        <w:rPr>
          <w:sz w:val="21"/>
          <w:szCs w:val="21"/>
        </w:rPr>
        <w:t>s</w:t>
      </w:r>
      <w:r w:rsidRPr="00F31F1D">
        <w:rPr>
          <w:sz w:val="21"/>
          <w:szCs w:val="21"/>
        </w:rPr>
        <w:t xml:space="preserve"> </w:t>
      </w:r>
      <w:r w:rsidR="00C9278B" w:rsidRPr="00F31F1D">
        <w:rPr>
          <w:sz w:val="21"/>
          <w:szCs w:val="21"/>
        </w:rPr>
        <w:t xml:space="preserve">Möbel und Küchen (BVDM) </w:t>
      </w:r>
      <w:r w:rsidRPr="00F31F1D">
        <w:rPr>
          <w:sz w:val="21"/>
          <w:szCs w:val="21"/>
        </w:rPr>
        <w:t>werden zum Erscheinun</w:t>
      </w:r>
      <w:r w:rsidRPr="00A52F66">
        <w:rPr>
          <w:sz w:val="21"/>
          <w:szCs w:val="21"/>
        </w:rPr>
        <w:t>gste</w:t>
      </w:r>
      <w:r w:rsidR="005E34C6">
        <w:rPr>
          <w:sz w:val="21"/>
          <w:szCs w:val="21"/>
        </w:rPr>
        <w:t xml:space="preserve">rmin automatisch über den </w:t>
      </w:r>
      <w:r w:rsidR="008D39A6">
        <w:rPr>
          <w:sz w:val="21"/>
          <w:szCs w:val="21"/>
        </w:rPr>
        <w:t>„</w:t>
      </w:r>
      <w:r w:rsidRPr="00A52F66">
        <w:rPr>
          <w:sz w:val="21"/>
          <w:szCs w:val="21"/>
        </w:rPr>
        <w:t>BVDM digit@l guide 202</w:t>
      </w:r>
      <w:r w:rsidR="00733A99">
        <w:rPr>
          <w:sz w:val="21"/>
          <w:szCs w:val="21"/>
        </w:rPr>
        <w:t>3</w:t>
      </w:r>
      <w:r w:rsidR="008D39A6">
        <w:rPr>
          <w:sz w:val="21"/>
          <w:szCs w:val="21"/>
        </w:rPr>
        <w:t>“</w:t>
      </w:r>
      <w:r w:rsidRPr="00A52F66">
        <w:rPr>
          <w:sz w:val="21"/>
          <w:szCs w:val="21"/>
        </w:rPr>
        <w:t xml:space="preserve"> informiert</w:t>
      </w:r>
      <w:r w:rsidR="00733A99">
        <w:rPr>
          <w:sz w:val="21"/>
          <w:szCs w:val="21"/>
        </w:rPr>
        <w:t>.</w:t>
      </w:r>
    </w:p>
    <w:p w14:paraId="0AB3CFD1" w14:textId="0AEC4857" w:rsidR="00DD604F" w:rsidRDefault="00733A99" w:rsidP="00733A99">
      <w:pPr>
        <w:spacing w:before="120" w:line="360" w:lineRule="auto"/>
        <w:ind w:right="-28"/>
        <w:jc w:val="both"/>
        <w:rPr>
          <w:sz w:val="21"/>
          <w:szCs w:val="21"/>
        </w:rPr>
      </w:pPr>
      <w:r>
        <w:rPr>
          <w:sz w:val="21"/>
          <w:szCs w:val="21"/>
        </w:rPr>
        <w:t>Der „BVDM digit@l guide</w:t>
      </w:r>
      <w:r w:rsidR="00E679F9">
        <w:rPr>
          <w:sz w:val="21"/>
          <w:szCs w:val="21"/>
        </w:rPr>
        <w:t xml:space="preserve"> 2023</w:t>
      </w:r>
      <w:bookmarkStart w:id="5" w:name="_GoBack"/>
      <w:bookmarkEnd w:id="5"/>
      <w:r>
        <w:rPr>
          <w:sz w:val="21"/>
          <w:szCs w:val="21"/>
        </w:rPr>
        <w:t xml:space="preserve">“ kann ab sofort unter </w:t>
      </w:r>
      <w:hyperlink r:id="rId10" w:history="1">
        <w:r w:rsidRPr="00733A99">
          <w:rPr>
            <w:rStyle w:val="Hyperlink"/>
            <w:sz w:val="21"/>
            <w:szCs w:val="21"/>
          </w:rPr>
          <w:t>https://bit.ly/BVDMGuide2023</w:t>
        </w:r>
      </w:hyperlink>
      <w:r w:rsidRPr="00733A99">
        <w:rPr>
          <w:sz w:val="21"/>
          <w:szCs w:val="21"/>
        </w:rPr>
        <w:t xml:space="preserve"> </w:t>
      </w:r>
      <w:r>
        <w:rPr>
          <w:sz w:val="21"/>
          <w:szCs w:val="21"/>
        </w:rPr>
        <w:t xml:space="preserve">kostenlos </w:t>
      </w:r>
      <w:r w:rsidR="00A20B83">
        <w:rPr>
          <w:sz w:val="21"/>
          <w:szCs w:val="21"/>
        </w:rPr>
        <w:t xml:space="preserve">von Mitgliedern der Handelsorganisation </w:t>
      </w:r>
      <w:r>
        <w:rPr>
          <w:sz w:val="21"/>
          <w:szCs w:val="21"/>
        </w:rPr>
        <w:t>heruntergeladen werden.</w:t>
      </w:r>
    </w:p>
    <w:p w14:paraId="7A295977" w14:textId="1FEFBD0F" w:rsidR="00F71684" w:rsidRPr="005502C8" w:rsidRDefault="00F71684" w:rsidP="00C9278B">
      <w:pPr>
        <w:spacing w:before="120" w:line="240" w:lineRule="exact"/>
        <w:ind w:right="-28"/>
        <w:jc w:val="both"/>
        <w:rPr>
          <w:sz w:val="16"/>
          <w:szCs w:val="16"/>
        </w:rPr>
      </w:pPr>
      <w:r w:rsidRPr="005502C8">
        <w:rPr>
          <w:sz w:val="16"/>
          <w:szCs w:val="16"/>
        </w:rPr>
        <w:t xml:space="preserve">Der </w:t>
      </w:r>
      <w:r w:rsidR="00CD670C" w:rsidRPr="005502C8">
        <w:rPr>
          <w:sz w:val="16"/>
          <w:szCs w:val="16"/>
        </w:rPr>
        <w:t xml:space="preserve">Handelsverband </w:t>
      </w:r>
      <w:r w:rsidRPr="005502C8">
        <w:rPr>
          <w:sz w:val="16"/>
          <w:szCs w:val="16"/>
        </w:rPr>
        <w:t>Möbel</w:t>
      </w:r>
      <w:r w:rsidR="00CD670C" w:rsidRPr="005502C8">
        <w:rPr>
          <w:sz w:val="16"/>
          <w:szCs w:val="16"/>
        </w:rPr>
        <w:t xml:space="preserve"> und Küchen</w:t>
      </w:r>
      <w:r w:rsidRPr="005502C8">
        <w:rPr>
          <w:sz w:val="16"/>
          <w:szCs w:val="16"/>
        </w:rPr>
        <w:t xml:space="preserve"> (BVDM) ist die berufspolitische und branchenfachliche Interessenvertretung des Fachhandels mit Möbeln, Küchen, und Einrichtungsgegenständen in Deutschland. Der Verband vertritt die Interessen von rund 8.500 Unternehmen an rund 10.000 Standorten mit ca. 100.000 Beschäftigten. Der BVDM ist </w:t>
      </w:r>
      <w:r w:rsidR="00CD670C" w:rsidRPr="005502C8">
        <w:rPr>
          <w:sz w:val="16"/>
          <w:szCs w:val="16"/>
        </w:rPr>
        <w:t>F</w:t>
      </w:r>
      <w:r w:rsidRPr="005502C8">
        <w:rPr>
          <w:sz w:val="16"/>
          <w:szCs w:val="16"/>
        </w:rPr>
        <w:t>achverband im Handelsverband Deutschland (HDE).</w:t>
      </w:r>
    </w:p>
    <w:p w14:paraId="1F5A1BC0" w14:textId="77777777" w:rsidR="00CD670C" w:rsidRPr="005502C8" w:rsidRDefault="00CD670C" w:rsidP="00C9278B">
      <w:pPr>
        <w:spacing w:before="120" w:line="240" w:lineRule="exact"/>
        <w:ind w:right="-28"/>
        <w:jc w:val="both"/>
        <w:rPr>
          <w:sz w:val="16"/>
          <w:szCs w:val="16"/>
        </w:rPr>
      </w:pPr>
      <w:r w:rsidRPr="005502C8">
        <w:rPr>
          <w:sz w:val="16"/>
          <w:szCs w:val="16"/>
        </w:rPr>
        <w:t>Der Handelsverband Wohnen und Büro ist die Dachorganisation des Handelsverbandes Möbel und Küchen (BVDM), des Handelsverbandes Büro und Schreibkultur (HBS)</w:t>
      </w:r>
      <w:r w:rsidR="009E0978" w:rsidRPr="005502C8">
        <w:rPr>
          <w:sz w:val="16"/>
          <w:szCs w:val="16"/>
        </w:rPr>
        <w:t xml:space="preserve"> sowie</w:t>
      </w:r>
      <w:r w:rsidRPr="005502C8">
        <w:rPr>
          <w:sz w:val="16"/>
          <w:szCs w:val="16"/>
        </w:rPr>
        <w:t xml:space="preserve"> des Handelsverbandes Koch- und Tischkultur (GPK). Er ist die berufspolitische und fachliche Interessenvertretung des Fachhandels der entsprechenden Branchen in Deutschland. Der Verband vertritt die Interessen von rund 15.000 Unternehmen. </w:t>
      </w:r>
    </w:p>
    <w:p w14:paraId="5EE74F6B" w14:textId="77777777" w:rsidR="00CD670C" w:rsidRPr="005502C8" w:rsidRDefault="00CD670C" w:rsidP="00C9278B">
      <w:pPr>
        <w:spacing w:before="120" w:line="240" w:lineRule="exact"/>
        <w:ind w:right="-28"/>
        <w:jc w:val="both"/>
        <w:rPr>
          <w:sz w:val="16"/>
          <w:szCs w:val="16"/>
        </w:rPr>
      </w:pPr>
      <w:r w:rsidRPr="005502C8">
        <w:rPr>
          <w:sz w:val="16"/>
          <w:szCs w:val="16"/>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5502C8" w:rsidSect="00967899">
      <w:headerReference w:type="default" r:id="rId11"/>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94B13" w14:textId="77777777" w:rsidR="004F56FB" w:rsidRDefault="004F56FB">
      <w:r>
        <w:separator/>
      </w:r>
    </w:p>
  </w:endnote>
  <w:endnote w:type="continuationSeparator" w:id="0">
    <w:p w14:paraId="1447A64C" w14:textId="77777777" w:rsidR="004F56FB" w:rsidRDefault="004F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CC776" w14:textId="77777777" w:rsidR="004F56FB" w:rsidRDefault="004F56FB">
      <w:r>
        <w:separator/>
      </w:r>
    </w:p>
  </w:footnote>
  <w:footnote w:type="continuationSeparator" w:id="0">
    <w:p w14:paraId="76179552" w14:textId="77777777" w:rsidR="004F56FB" w:rsidRDefault="004F5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14:paraId="33D2DA1A" w14:textId="6CBA78A5" w:rsidR="001B2D9C" w:rsidRDefault="00BA53BA">
        <w:pPr>
          <w:pStyle w:val="Kopfzeile"/>
          <w:jc w:val="center"/>
        </w:pPr>
        <w:r>
          <w:fldChar w:fldCharType="begin"/>
        </w:r>
        <w:r>
          <w:instrText xml:space="preserve"> PAGE   \* MERGEFORMAT </w:instrText>
        </w:r>
        <w:r>
          <w:fldChar w:fldCharType="separate"/>
        </w:r>
        <w:r w:rsidR="005502C8">
          <w:rPr>
            <w:noProof/>
          </w:rPr>
          <w:t>2</w:t>
        </w:r>
        <w:r>
          <w:rPr>
            <w:noProof/>
          </w:rPr>
          <w:fldChar w:fldCharType="end"/>
        </w:r>
      </w:p>
    </w:sdtContent>
  </w:sdt>
  <w:p w14:paraId="3B05EDC3" w14:textId="77777777"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FB"/>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37711"/>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37363"/>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6FB"/>
    <w:rsid w:val="004F5EE6"/>
    <w:rsid w:val="005006BC"/>
    <w:rsid w:val="00500E23"/>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02C8"/>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4C6"/>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3A99"/>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C6F72"/>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39A6"/>
    <w:rsid w:val="008D73C0"/>
    <w:rsid w:val="008D763B"/>
    <w:rsid w:val="008D7CC2"/>
    <w:rsid w:val="008E4268"/>
    <w:rsid w:val="008E4D91"/>
    <w:rsid w:val="008E6CC2"/>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20B83"/>
    <w:rsid w:val="00A41948"/>
    <w:rsid w:val="00A442CE"/>
    <w:rsid w:val="00A473B1"/>
    <w:rsid w:val="00A52F66"/>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0B9B"/>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1179"/>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3617B"/>
    <w:rsid w:val="00C474D6"/>
    <w:rsid w:val="00C552F6"/>
    <w:rsid w:val="00C55978"/>
    <w:rsid w:val="00C56063"/>
    <w:rsid w:val="00C611AF"/>
    <w:rsid w:val="00C758CC"/>
    <w:rsid w:val="00C77ED5"/>
    <w:rsid w:val="00C917E8"/>
    <w:rsid w:val="00C9278B"/>
    <w:rsid w:val="00C92D0D"/>
    <w:rsid w:val="00C93716"/>
    <w:rsid w:val="00C93D63"/>
    <w:rsid w:val="00C971E3"/>
    <w:rsid w:val="00C97A6B"/>
    <w:rsid w:val="00CA72B7"/>
    <w:rsid w:val="00CB249A"/>
    <w:rsid w:val="00CB71AD"/>
    <w:rsid w:val="00CB78C2"/>
    <w:rsid w:val="00CC2F30"/>
    <w:rsid w:val="00CC402D"/>
    <w:rsid w:val="00CC456C"/>
    <w:rsid w:val="00CD3E46"/>
    <w:rsid w:val="00CD4E2C"/>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4A9C"/>
    <w:rsid w:val="00DB7118"/>
    <w:rsid w:val="00DC261A"/>
    <w:rsid w:val="00DC5791"/>
    <w:rsid w:val="00DC713C"/>
    <w:rsid w:val="00DD05E4"/>
    <w:rsid w:val="00DD0609"/>
    <w:rsid w:val="00DD604F"/>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679F9"/>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1F1D"/>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260DFB2"/>
  <w15:docId w15:val="{79682430-AA3A-41C2-AA46-D606CA76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character" w:styleId="Kommentarzeichen">
    <w:name w:val="annotation reference"/>
    <w:basedOn w:val="Absatz-Standardschriftart"/>
    <w:semiHidden/>
    <w:unhideWhenUsed/>
    <w:rsid w:val="005E34C6"/>
    <w:rPr>
      <w:sz w:val="16"/>
      <w:szCs w:val="16"/>
    </w:rPr>
  </w:style>
  <w:style w:type="paragraph" w:styleId="Kommentartext">
    <w:name w:val="annotation text"/>
    <w:basedOn w:val="Standard"/>
    <w:link w:val="KommentartextZchn"/>
    <w:semiHidden/>
    <w:unhideWhenUsed/>
    <w:rsid w:val="005E34C6"/>
  </w:style>
  <w:style w:type="character" w:customStyle="1" w:styleId="KommentartextZchn">
    <w:name w:val="Kommentartext Zchn"/>
    <w:basedOn w:val="Absatz-Standardschriftart"/>
    <w:link w:val="Kommentartext"/>
    <w:semiHidden/>
    <w:rsid w:val="005E34C6"/>
    <w:rPr>
      <w:rFonts w:ascii="Arial" w:hAnsi="Arial" w:cs="Arial"/>
    </w:rPr>
  </w:style>
  <w:style w:type="paragraph" w:styleId="Kommentarthema">
    <w:name w:val="annotation subject"/>
    <w:basedOn w:val="Kommentartext"/>
    <w:next w:val="Kommentartext"/>
    <w:link w:val="KommentarthemaZchn"/>
    <w:semiHidden/>
    <w:unhideWhenUsed/>
    <w:rsid w:val="005E34C6"/>
    <w:rPr>
      <w:b/>
      <w:bCs/>
    </w:rPr>
  </w:style>
  <w:style w:type="character" w:customStyle="1" w:styleId="KommentarthemaZchn">
    <w:name w:val="Kommentarthema Zchn"/>
    <w:basedOn w:val="KommentartextZchn"/>
    <w:link w:val="Kommentarthema"/>
    <w:semiHidden/>
    <w:rsid w:val="005E34C6"/>
    <w:rPr>
      <w:rFonts w:ascii="Arial" w:hAnsi="Arial" w:cs="Arial"/>
      <w:b/>
      <w:bCs/>
    </w:rPr>
  </w:style>
  <w:style w:type="character" w:styleId="Hyperlink">
    <w:name w:val="Hyperlink"/>
    <w:basedOn w:val="Absatz-Standardschriftart"/>
    <w:unhideWhenUsed/>
    <w:rsid w:val="00C927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BVDM_ADJ.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it.ly/BVDMGuide2023"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BCC2-9095-4BC1-B506-190359F4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1</Pages>
  <Words>319</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4</cp:revision>
  <cp:lastPrinted>2023-05-17T08:15:00Z</cp:lastPrinted>
  <dcterms:created xsi:type="dcterms:W3CDTF">2023-05-17T07:08:00Z</dcterms:created>
  <dcterms:modified xsi:type="dcterms:W3CDTF">2023-05-17T08:17:00Z</dcterms:modified>
  <cp:contentStatus/>
</cp:coreProperties>
</file>